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26-185</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761—615.15(232,299,307,321)</w:t>
      </w:r>
    </w:p>
    <w:p>
      <w:pPr>
        <w:spacing w:before="0" w:after="0" w:line="480"/>
        <w:ind w:left="120"/>
        <w:jc w:val="center"/>
      </w:pPr>
      <w:r>
        <w:rPr>
          <w:rFonts w:ascii="Times New Roman" w:hAnsi="Times New Roman"/>
          <w:b w:val="false"/>
          <w:i w:val="false"/>
          <w:color w:val="000000"/>
          <w:sz w:val="24"/>
        </w:rPr>
        <w:t>“Denials and Suspensions for Juveniles”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307.12(1)“j” and 321.213B</w:t>
      </w:r>
    </w:p>
    <w:p>
      <w:pPr>
        <w:spacing w:before="0" w:after="0" w:line="480"/>
        <w:ind w:left="120"/>
        <w:jc w:val="both"/>
      </w:pPr>
      <w:r>
        <w:rPr>
          <w:rFonts w:ascii="Times New Roman" w:hAnsi="Times New Roman"/>
          <w:b w:val="false"/>
          <w:i w:val="false"/>
          <w:color w:val="000000"/>
          <w:sz w:val="24"/>
        </w:rPr>
        <w:t>State or federal law(s) implemented by the rulemaking: Iowa Code sections 299.1B and 321.213B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 to 9:30 a.m.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971 908 8#</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Sara Siedsma</w:t>
            </w:r>
            <w:r>
              <w:br/>
            </w:r>
            <w:r>
              <w:rPr>
                <w:rFonts w:ascii="Times New Roman" w:hAnsi="Times New Roman"/>
                <w:b w:val="false"/>
                <w:i w:val="false"/>
                <w:color w:val="000000"/>
                <w:sz w:val="14"/>
              </w:rPr>
              <w:t>6310 SE Convenience Boulevard</w:t>
            </w:r>
            <w:r>
              <w:br/>
            </w:r>
            <w:r>
              <w:rPr>
                <w:rFonts w:ascii="Times New Roman" w:hAnsi="Times New Roman"/>
                <w:b w:val="false"/>
                <w:i w:val="false"/>
                <w:color w:val="000000"/>
                <w:sz w:val="14"/>
              </w:rPr>
              <w:t>Ankeny, Iowa 50021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conform with Iowa Code section 299.1B, which requires the Department to deny issuance of a driver’s license until a person reaches the age of 18 if the Department receives notification from a school authority that the person is of compulsory age and does not meet the school attendance requirements of Iowa Code section 299.1B.</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amendment. Driver’s license suspensions for violation of school attendance requirements are already possible through the Department’s existing information technology (IT) system, but the ability to deny the license will now be built into the Department’s new IT system.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subject to a driver’s license denial under this rulemaking will benefit from having the rulemaking align with the requirements of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significant quantitative impacts anticipated. In fiscal year 2025, the Department issued 33 driver’s license suspensions upon receipt of notification from a school authority that a person of compulsory age did not meet the school attendance requirements of Iowa Code section 299.1B.</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because of the proposed amendment.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because of the proposed amendment.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Iowa Code section 299.1B requires the Department to deny issuance of a driver’s license until a person reaches the age of 18 if the Department receives notification from a school authority that the person is of compulsory age and does not meet the school attendance requirements of Iowa Code section 299.1B.</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because of the proposed amendment.</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761—615.15(232,299,307,321)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761—615.15</w:t>
      </w:r>
      <w:r>
        <w:rPr>
          <w:rFonts w:ascii="Times New Roman" w:hAnsi="Times New Roman"/>
          <w:b/>
          <w:i w:val="false"/>
          <w:color w:val="000000"/>
          <w:sz w:val="24"/>
        </w:rPr>
        <w:t xml:space="preserve">(232,299,307,321) </w:t>
      </w:r>
      <w:r>
        <w:rPr>
          <w:rFonts w:ascii="Times New Roman" w:hAnsi="Times New Roman"/>
          <w:b/>
          <w:i w:val="false"/>
          <w:strike/>
          <w:color w:val="000000"/>
          <w:sz w:val="24"/>
        </w:rPr>
        <w:t>Suspensions</w:t>
      </w:r>
      <w:r>
        <w:rPr>
          <w:rFonts w:ascii="Times New Roman" w:hAnsi="Times New Roman"/>
          <w:b/>
          <w:i w:val="false"/>
          <w:color w:val="000000"/>
          <w:sz w:val="24"/>
          <w:u w:val="single"/>
        </w:rPr>
        <w:t> </w:t>
      </w:r>
      <w:r>
        <w:rPr>
          <w:rFonts w:ascii="Times New Roman" w:hAnsi="Times New Roman"/>
          <w:b/>
          <w:i w:val="false"/>
          <w:color w:val="000000"/>
          <w:sz w:val="24"/>
          <w:u w:val="single"/>
        </w:rPr>
        <w:t>Denials and suspensions</w:t>
      </w:r>
      <w:r>
        <w:rPr>
          <w:rFonts w:ascii="Times New Roman" w:hAnsi="Times New Roman"/>
          <w:b/>
          <w:i w:val="false"/>
          <w:color w:val="000000"/>
          <w:sz w:val="24"/>
        </w:rPr>
        <w:t xml:space="preserve"> for juveniles.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615.15(1)</w:t>
      </w:r>
      <w:r>
        <w:rPr>
          <w:rFonts w:ascii="Times New Roman" w:hAnsi="Times New Roman"/>
          <w:b w:val="false"/>
          <w:i w:val="false"/>
          <w:color w:val="000000"/>
          <w:sz w:val="24"/>
        </w:rPr>
        <w:t> </w:t>
      </w:r>
      <w:r>
        <w:rPr>
          <w:rFonts w:ascii="Times New Roman" w:hAnsi="Times New Roman"/>
          <w:b w:val="false"/>
          <w:i/>
          <w:color w:val="000000"/>
          <w:sz w:val="24"/>
        </w:rPr>
        <w:t xml:space="preserve">Suspension for juveniles adjudicated delinquent for certain offenses.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issue to a person suspended under this subrule a temporary restricted license in accordance with rule </w:t>
      </w:r>
      <w:hyperlink r:id="rId6">
        <w:r>
          <w:rPr>
            <w:rStyle w:val="Hyperlink"/>
            <w:rFonts w:ascii="Times New Roman" w:hAnsi="Times New Roman"/>
            <w:b w:val="false"/>
            <w:i w:val="false"/>
            <w:color w:val="000000"/>
            <w:sz w:val="24"/>
          </w:rPr>
          <w:t>761—615.28</w:t>
        </w:r>
      </w:hyperlink>
      <w:r>
        <w:rPr>
          <w:rFonts w:ascii="Times New Roman" w:hAnsi="Times New Roman"/>
          <w:b w:val="false"/>
          <w:i w:val="false"/>
          <w:color w:val="000000"/>
          <w:sz w:val="24"/>
        </w:rPr>
        <w:t xml:space="preserve">(321) if issuance is permitted under Iowa Code section </w:t>
      </w:r>
      <w:hyperlink r:id="rId7">
        <w:r>
          <w:rPr>
            <w:rStyle w:val="Hyperlink"/>
            <w:rFonts w:ascii="Times New Roman" w:hAnsi="Times New Roman"/>
            <w:b w:val="false"/>
            <w:i w:val="false"/>
            <w:color w:val="000000"/>
            <w:sz w:val="24"/>
          </w:rPr>
          <w:t>321.215</w:t>
        </w:r>
      </w:hyperlink>
      <w:r>
        <w:rPr>
          <w:rFonts w:ascii="Times New Roman" w:hAnsi="Times New Roman"/>
          <w:b w:val="false"/>
          <w:i w:val="false"/>
          <w:color w:val="000000"/>
          <w:sz w:val="24"/>
        </w:rPr>
        <w:t xml:space="preserve"> and the person is otherwise eligible for the license. To obtain a temporary restricted license that is valid for educational or employment purposes, the applicant must meet the requirements for issuance of a special minor’s restricted license under Iowa Code section </w:t>
      </w:r>
      <w:hyperlink r:id="rId8">
        <w:r>
          <w:rPr>
            <w:rStyle w:val="Hyperlink"/>
            <w:rFonts w:ascii="Times New Roman" w:hAnsi="Times New Roman"/>
            <w:b w:val="false"/>
            <w:i w:val="false"/>
            <w:color w:val="000000"/>
            <w:sz w:val="24"/>
          </w:rPr>
          <w:t>321.194</w:t>
        </w:r>
      </w:hyperlink>
      <w:r>
        <w:rPr>
          <w:rFonts w:ascii="Times New Roman" w:hAnsi="Times New Roman"/>
          <w:b w:val="false"/>
          <w:i w:val="false"/>
          <w:color w:val="000000"/>
          <w:sz w:val="24"/>
        </w:rPr>
        <w:t xml:space="preserve"> and rule </w:t>
      </w:r>
      <w:hyperlink r:id="rId9">
        <w:r>
          <w:rPr>
            <w:rStyle w:val="Hyperlink"/>
            <w:rFonts w:ascii="Times New Roman" w:hAnsi="Times New Roman"/>
            <w:b w:val="false"/>
            <w:i w:val="false"/>
            <w:strike/>
            <w:color w:val="000000"/>
            <w:sz w:val="24"/>
          </w:rPr>
          <w:t>761—602.26</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0">
        <w:r>
          <w:rPr>
            <w:rStyle w:val="Hyperlink"/>
            <w:rFonts w:ascii="Times New Roman" w:hAnsi="Times New Roman"/>
            <w:b w:val="false"/>
            <w:i w:val="false"/>
            <w:color w:val="000000"/>
            <w:sz w:val="24"/>
            <w:u w:val="single"/>
          </w:rPr>
          <w:t>761—602.9(321)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615.15(2)</w:t>
      </w:r>
      <w:r>
        <w:rPr>
          <w:rFonts w:ascii="Times New Roman" w:hAnsi="Times New Roman"/>
          <w:b w:val="false"/>
          <w:i w:val="false"/>
          <w:color w:val="000000"/>
          <w:sz w:val="24"/>
        </w:rPr>
        <w:t> </w:t>
      </w:r>
      <w:r>
        <w:rPr>
          <w:rFonts w:ascii="Times New Roman" w:hAnsi="Times New Roman"/>
          <w:b w:val="false"/>
          <w:i/>
          <w:strike/>
          <w:color w:val="000000"/>
          <w:sz w:val="24"/>
        </w:rPr>
        <w:t>Suspension</w:t>
      </w:r>
      <w:r>
        <w:rPr>
          <w:rFonts w:ascii="Times New Roman" w:hAnsi="Times New Roman"/>
          <w:b w:val="false"/>
          <w:i/>
          <w:color w:val="000000"/>
          <w:sz w:val="24"/>
          <w:u w:val="single"/>
        </w:rPr>
        <w:t> </w:t>
      </w:r>
      <w:r>
        <w:rPr>
          <w:rFonts w:ascii="Times New Roman" w:hAnsi="Times New Roman"/>
          <w:b w:val="false"/>
          <w:i/>
          <w:color w:val="000000"/>
          <w:sz w:val="24"/>
          <w:u w:val="single"/>
        </w:rPr>
        <w:t>Denial or suspension</w:t>
      </w:r>
      <w:r>
        <w:rPr>
          <w:rFonts w:ascii="Times New Roman" w:hAnsi="Times New Roman"/>
          <w:b w:val="false"/>
          <w:i/>
          <w:color w:val="000000"/>
          <w:sz w:val="24"/>
        </w:rPr>
        <w:t xml:space="preserve"> for juvenile’s failure to attend school.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shall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deny or</w:t>
      </w:r>
      <w:r>
        <w:rPr>
          <w:rFonts w:ascii="Times New Roman" w:hAnsi="Times New Roman"/>
          <w:b w:val="false"/>
          <w:i w:val="false"/>
          <w:color w:val="000000"/>
          <w:sz w:val="24"/>
        </w:rPr>
        <w:t xml:space="preserve"> suspend the driver’s license of a person of compulsory age upon receipt of notification from the appropriate school authority that the person is in violation of Iowa Code section </w:t>
      </w:r>
      <w:hyperlink r:id="rId11">
        <w:r>
          <w:rPr>
            <w:rStyle w:val="Hyperlink"/>
            <w:rFonts w:ascii="Times New Roman" w:hAnsi="Times New Roman"/>
            <w:b w:val="false"/>
            <w:i w:val="false"/>
            <w:color w:val="000000"/>
            <w:sz w:val="24"/>
          </w:rPr>
          <w:t>299.1B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denial or</w:t>
      </w:r>
      <w:r>
        <w:rPr>
          <w:rFonts w:ascii="Times New Roman" w:hAnsi="Times New Roman"/>
          <w:b w:val="false"/>
          <w:i w:val="false"/>
          <w:color w:val="000000"/>
          <w:sz w:val="24"/>
        </w:rPr>
        <w:t xml:space="preserve"> suspension will continue until the person reaches the age of 18 or the department receives notification from the appropriate school authority that the person is no longer in violation of Iowa Code section </w:t>
      </w:r>
      <w:hyperlink r:id="rId12">
        <w:r>
          <w:rPr>
            <w:rStyle w:val="Hyperlink"/>
            <w:rFonts w:ascii="Times New Roman" w:hAnsi="Times New Roman"/>
            <w:b w:val="false"/>
            <w:i w:val="false"/>
            <w:color w:val="000000"/>
            <w:sz w:val="24"/>
          </w:rPr>
          <w:t>299.1B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issue to the person a minor’s restricted work license pursuant to Iowa Code section </w:t>
      </w:r>
      <w:hyperlink r:id="rId13">
        <w:r>
          <w:rPr>
            <w:rStyle w:val="Hyperlink"/>
            <w:rFonts w:ascii="Times New Roman" w:hAnsi="Times New Roman"/>
            <w:b w:val="false"/>
            <w:i w:val="false"/>
            <w:color w:val="000000"/>
            <w:sz w:val="24"/>
          </w:rPr>
          <w:t>321.178</w:t>
        </w:r>
      </w:hyperlink>
      <w:r>
        <w:rPr>
          <w:rFonts w:ascii="Times New Roman" w:hAnsi="Times New Roman"/>
          <w:b w:val="false"/>
          <w:i w:val="false"/>
          <w:color w:val="000000"/>
          <w:sz w:val="24"/>
        </w:rPr>
        <w:t xml:space="preserve"> and rule </w:t>
      </w:r>
      <w:hyperlink r:id="rId14">
        <w:r>
          <w:rPr>
            <w:rStyle w:val="Hyperlink"/>
            <w:rFonts w:ascii="Times New Roman" w:hAnsi="Times New Roman"/>
            <w:b w:val="false"/>
            <w:i w:val="false"/>
            <w:strike/>
            <w:color w:val="000000"/>
            <w:sz w:val="24"/>
          </w:rPr>
          <w:t>761—602.25</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5">
        <w:r>
          <w:rPr>
            <w:rStyle w:val="Hyperlink"/>
            <w:rFonts w:ascii="Times New Roman" w:hAnsi="Times New Roman"/>
            <w:b w:val="false"/>
            <w:i w:val="false"/>
            <w:color w:val="000000"/>
            <w:sz w:val="24"/>
            <w:u w:val="single"/>
          </w:rPr>
          <w:t>761—602.8(299,321)</w:t>
        </w:r>
      </w:hyperlink>
      <w:r>
        <w:rPr>
          <w:rFonts w:ascii="Times New Roman" w:hAnsi="Times New Roman"/>
          <w:b w:val="false"/>
          <w:i w:val="false"/>
          <w:color w:val="000000"/>
          <w:sz w:val="24"/>
        </w:rPr>
        <w:t> if the person is eligible for the license.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232.52(2)</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321.178</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321.213B</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299.1B</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307.12(1)</w:t>
        </w:r>
      </w:hyperlink>
      <w:r>
        <w:rPr>
          <w:rFonts w:ascii="Times New Roman" w:hAnsi="Times New Roman"/>
          <w:b w:val="false"/>
          <w:i/>
          <w:color w:val="000000"/>
          <w:sz w:val="24"/>
        </w:rPr>
        <w:t>“j,”</w:t>
      </w:r>
      <w:r>
        <w:rPr>
          <w:rFonts w:ascii="Times New Roman" w:hAnsi="Times New Roman"/>
          <w:b w:val="false"/>
          <w:i w:val="false"/>
          <w:color w:val="000000"/>
          <w:sz w:val="24"/>
        </w:rPr>
        <w:t> </w:t>
      </w:r>
      <w:hyperlink r:id="rId21">
        <w:r>
          <w:rPr>
            <w:rStyle w:val="Hyperlink"/>
            <w:rFonts w:ascii="Times New Roman" w:hAnsi="Times New Roman"/>
            <w:b w:val="false"/>
            <w:i w:val="false"/>
            <w:color w:val="000000"/>
            <w:sz w:val="24"/>
          </w:rPr>
          <w:t>321.213</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321.213A</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321.215</w:t>
        </w:r>
      </w:hyperlink>
      <w:r>
        <w:rPr>
          <w:rFonts w:ascii="Times New Roman" w:hAnsi="Times New Roman"/>
          <w:b w:val="false"/>
          <w:i w:val="false"/>
          <w:color w:val="000000"/>
          <w:sz w:val="24"/>
        </w:rPr>
        <w:t>.</w:t>
      </w:r>
    </w:p>
    <w:p>
      <w:pPr>
        <w:spacing w:before="0" w:after="0" w:line="240"/>
        <w:ind w:left="120"/>
        <w:jc w:val="both"/>
      </w:pPr>
    </w:p>
    <w:sectPr>
      <w:footerReference r:id="rId2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14766464339446?p=oNAvlyYlw4d5DGDNCR"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ac/rule/761.615.28.pdf" Type="http://schemas.openxmlformats.org/officeDocument/2006/relationships/hyperlink" Id="rId6"/>
    <Relationship TargetMode="External" Target="https://www.legis.iowa.gov/docs/ico/chapter/321.215.pdf" Type="http://schemas.openxmlformats.org/officeDocument/2006/relationships/hyperlink" Id="rId7"/>
    <Relationship TargetMode="External" Target="https://www.legis.iowa.gov/docs/ico/chapter/321.194.pdf" Type="http://schemas.openxmlformats.org/officeDocument/2006/relationships/hyperlink" Id="rId8"/>
    <Relationship TargetMode="External" Target="https://www.legis.iowa.gov/docs/iac/rule/761.602.26.pdf" Type="http://schemas.openxmlformats.org/officeDocument/2006/relationships/hyperlink" Id="rId9"/>
    <Relationship TargetMode="External" Target="https://www.legis.iowa.gov/docs/iac/rule/761.602.9.pdf" Type="http://schemas.openxmlformats.org/officeDocument/2006/relationships/hyperlink" Id="rId10"/>
    <Relationship TargetMode="External" Target="https://www.legis.iowa.gov/docs/ico/chapter/299.1B.pdf" Type="http://schemas.openxmlformats.org/officeDocument/2006/relationships/hyperlink" Id="rId11"/>
    <Relationship TargetMode="External" Target="https://www.legis.iowa.gov/docs/ico/chapter/299.1B.pdf" Type="http://schemas.openxmlformats.org/officeDocument/2006/relationships/hyperlink" Id="rId12"/>
    <Relationship TargetMode="External" Target="https://www.legis.iowa.gov/docs/ico/chapter/321.178.pdf" Type="http://schemas.openxmlformats.org/officeDocument/2006/relationships/hyperlink" Id="rId13"/>
    <Relationship TargetMode="External" Target="https://www.legis.iowa.gov/docs/iac/rule/761.602.25.pdf" Type="http://schemas.openxmlformats.org/officeDocument/2006/relationships/hyperlink" Id="rId14"/>
    <Relationship TargetMode="External" Target="https://www.legis.iowa.gov/docs/iac/rule/761.602.8.pdf" Type="http://schemas.openxmlformats.org/officeDocument/2006/relationships/hyperlink" Id="rId15"/>
    <Relationship TargetMode="External" Target="https://www.legis.iowa.gov/docs/ico/chapter/232.52.pdf" Type="http://schemas.openxmlformats.org/officeDocument/2006/relationships/hyperlink" Id="rId16"/>
    <Relationship TargetMode="External" Target="https://www.legis.iowa.gov/docs/ico/chapter/321.178.pdf" Type="http://schemas.openxmlformats.org/officeDocument/2006/relationships/hyperlink" Id="rId17"/>
    <Relationship TargetMode="External" Target="https://www.legis.iowa.gov/docs/ico/chapter/321.213B.pdf" Type="http://schemas.openxmlformats.org/officeDocument/2006/relationships/hyperlink" Id="rId18"/>
    <Relationship TargetMode="External" Target="https://www.legis.iowa.gov/docs/ico/chapter/299.1B.pdf" Type="http://schemas.openxmlformats.org/officeDocument/2006/relationships/hyperlink" Id="rId19"/>
    <Relationship TargetMode="External" Target="https://www.legis.iowa.gov/docs/ico/chapter/307.12.pdf" Type="http://schemas.openxmlformats.org/officeDocument/2006/relationships/hyperlink" Id="rId20"/>
    <Relationship TargetMode="External" Target="https://www.legis.iowa.gov/docs/ico/chapter/321.213.pdf" Type="http://schemas.openxmlformats.org/officeDocument/2006/relationships/hyperlink" Id="rId21"/>
    <Relationship TargetMode="External" Target="https://www.legis.iowa.gov/docs/ico/chapter/321.213A.pdf" Type="http://schemas.openxmlformats.org/officeDocument/2006/relationships/hyperlink" Id="rId22"/>
    <Relationship TargetMode="External" Target="https://www.legis.iowa.gov/docs/ico/chapter/321.215.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